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203FA6" w:rsidP="001F0EC9">
            <w:pPr>
              <w:jc w:val="center"/>
              <w:rPr>
                <w:rFonts w:ascii="Century Tat" w:hAnsi="Century Tat"/>
              </w:rPr>
            </w:pPr>
            <w:r w:rsidRPr="00203FA6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2A41A2">
              <w:rPr>
                <w:rFonts w:ascii="Century Tat" w:hAnsi="Century Tat"/>
              </w:rPr>
              <w:t>Башkортостан Республикаhы</w:t>
            </w:r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1F0E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</w:t>
            </w:r>
            <w:r w:rsidR="004C2671">
              <w:rPr>
                <w:sz w:val="28"/>
                <w:szCs w:val="28"/>
              </w:rPr>
              <w:t>1</w:t>
            </w:r>
            <w:r w:rsidR="004F331A">
              <w:rPr>
                <w:sz w:val="28"/>
                <w:szCs w:val="28"/>
              </w:rPr>
              <w:t xml:space="preserve"> апреля</w:t>
            </w:r>
            <w:r w:rsidRPr="008934A5">
              <w:rPr>
                <w:sz w:val="28"/>
                <w:szCs w:val="28"/>
              </w:rPr>
              <w:t xml:space="preserve"> 2014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4F331A">
        <w:rPr>
          <w:b/>
          <w:sz w:val="28"/>
          <w:szCs w:val="28"/>
        </w:rPr>
        <w:t>22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A41A2" w:rsidRPr="008934A5" w:rsidRDefault="004C2671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="004F33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апрель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йыл</w:t>
      </w:r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4F331A" w:rsidRPr="004F331A" w:rsidRDefault="004F331A" w:rsidP="004F33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F331A">
        <w:rPr>
          <w:b/>
          <w:sz w:val="28"/>
          <w:szCs w:val="28"/>
        </w:rPr>
        <w:t xml:space="preserve">О </w:t>
      </w:r>
      <w:hyperlink r:id="rId6" w:history="1">
        <w:r w:rsidRPr="004F331A">
          <w:rPr>
            <w:b/>
            <w:sz w:val="28"/>
            <w:szCs w:val="28"/>
          </w:rPr>
          <w:t>целевой программе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</w:t>
        </w:r>
      </w:hyperlink>
    </w:p>
    <w:p w:rsidR="004F331A" w:rsidRPr="004F331A" w:rsidRDefault="004F331A" w:rsidP="004F331A">
      <w:pPr>
        <w:spacing w:before="100" w:beforeAutospacing="1" w:after="100" w:afterAutospacing="1"/>
        <w:jc w:val="both"/>
        <w:rPr>
          <w:sz w:val="28"/>
          <w:szCs w:val="28"/>
        </w:rPr>
      </w:pPr>
      <w:r w:rsidRPr="004F331A">
        <w:rPr>
          <w:sz w:val="28"/>
          <w:szCs w:val="28"/>
        </w:rPr>
        <w:t>     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сельского поселения Качегановский сельсовет муниципального района Миякинский район Республики Башкортостан, обеспечения стабильной социально-политической обстановки администрация сельского поселения Качегановский сельсовет постановляет:     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4F331A">
          <w:rPr>
            <w:rFonts w:ascii="Times New Roman" w:eastAsia="Times New Roman" w:hAnsi="Times New Roman" w:cs="Times New Roman"/>
            <w:sz w:val="28"/>
            <w:szCs w:val="28"/>
          </w:rPr>
          <w:t xml:space="preserve"> целевую программу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</w:t>
        </w:r>
      </w:hyperlink>
      <w:r>
        <w:rPr>
          <w:sz w:val="28"/>
          <w:szCs w:val="28"/>
        </w:rPr>
        <w:t xml:space="preserve">, </w:t>
      </w:r>
      <w:r w:rsidRPr="004F33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331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  </w:t>
      </w:r>
      <w:r w:rsidRPr="004F331A">
        <w:rPr>
          <w:rFonts w:ascii="Times New Roman" w:hAnsi="Times New Roman" w:cs="Times New Roman"/>
          <w:sz w:val="28"/>
          <w:szCs w:val="28"/>
        </w:rPr>
        <w:t>комиссию по укреплению межнационального и межконфессионального согласия на территории сельского поселения Качегановский сельсовет.</w:t>
      </w:r>
    </w:p>
    <w:p w:rsid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F331A" w:rsidRP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Качегановский сельсовет                                          Г.Р. Кадырова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4F331A" w:rsidRPr="004F331A" w:rsidRDefault="004F331A" w:rsidP="004F331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</w:pPr>
    </w:p>
    <w:p w:rsidR="004F331A" w:rsidRDefault="004F331A" w:rsidP="004F331A">
      <w:pPr>
        <w:spacing w:before="100" w:beforeAutospacing="1" w:after="100" w:afterAutospacing="1"/>
        <w:jc w:val="right"/>
      </w:pPr>
      <w:r w:rsidRPr="006212E8">
        <w:lastRenderedPageBreak/>
        <w:t>Приложение</w:t>
      </w:r>
      <w:r>
        <w:t xml:space="preserve"> 1</w:t>
      </w:r>
    </w:p>
    <w:p w:rsidR="004F331A" w:rsidRDefault="004F331A" w:rsidP="004F331A">
      <w:pPr>
        <w:spacing w:before="100" w:beforeAutospacing="1" w:after="100" w:afterAutospacing="1"/>
        <w:jc w:val="right"/>
      </w:pPr>
      <w:r>
        <w:t xml:space="preserve"> </w:t>
      </w:r>
      <w:r w:rsidRPr="006212E8">
        <w:t>к постановлению администрации</w:t>
      </w:r>
    </w:p>
    <w:p w:rsidR="004F331A" w:rsidRDefault="004F331A" w:rsidP="004F331A">
      <w:pPr>
        <w:spacing w:before="100" w:beforeAutospacing="1" w:after="100" w:afterAutospacing="1"/>
        <w:jc w:val="center"/>
      </w:pPr>
      <w:r>
        <w:t xml:space="preserve">                                                                         сельского поселения Качегановский сельсовет</w:t>
      </w:r>
    </w:p>
    <w:p w:rsidR="004F331A" w:rsidRDefault="004F331A" w:rsidP="004F331A">
      <w:pPr>
        <w:spacing w:before="100" w:beforeAutospacing="1" w:after="100" w:afterAutospacing="1"/>
        <w:jc w:val="center"/>
      </w:pPr>
      <w:r>
        <w:t xml:space="preserve">                                                                                                                   от 15.04.2014 г. № 22</w:t>
      </w:r>
    </w:p>
    <w:p w:rsidR="004F331A" w:rsidRPr="006212E8" w:rsidRDefault="004F331A" w:rsidP="004F331A">
      <w:pPr>
        <w:spacing w:before="100" w:beforeAutospacing="1" w:after="100" w:afterAutospacing="1"/>
        <w:jc w:val="right"/>
      </w:pPr>
    </w:p>
    <w:p w:rsidR="004F331A" w:rsidRDefault="004F331A" w:rsidP="004F331A">
      <w:pPr>
        <w:spacing w:before="100" w:beforeAutospacing="1" w:after="100" w:afterAutospacing="1"/>
        <w:jc w:val="both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6212E8">
        <w:rPr>
          <w:b/>
          <w:bCs/>
        </w:rPr>
        <w:t xml:space="preserve">ПАСПОРТ 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6212E8">
        <w:rPr>
          <w:b/>
          <w:bCs/>
        </w:rPr>
        <w:t>целевой программы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 "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7499"/>
      </w:tblGrid>
      <w:tr w:rsidR="004F331A" w:rsidRPr="006212E8" w:rsidTr="004F331A">
        <w:trPr>
          <w:trHeight w:val="15"/>
          <w:tblCellSpacing w:w="15" w:type="dxa"/>
        </w:trPr>
        <w:tc>
          <w:tcPr>
            <w:tcW w:w="1856" w:type="dxa"/>
            <w:vAlign w:val="center"/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vAlign w:val="center"/>
            <w:hideMark/>
          </w:tcPr>
          <w:p w:rsidR="004F331A" w:rsidRPr="006212E8" w:rsidRDefault="004F331A" w:rsidP="008D710E">
            <w:pPr>
              <w:jc w:val="both"/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Полное наименование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Целевая программа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 " (далее - Программа)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Цели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социально-экономически стабильной территории для мигрантов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Основные задачи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Создание механизмов поддержки процессов социальной и культурной адаптации мигрантов на территории сельского поселения;</w:t>
            </w:r>
            <w:r w:rsidRPr="006212E8">
              <w:br/>
            </w:r>
            <w:r w:rsidRPr="006212E8">
              <w:br/>
              <w:t xml:space="preserve">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Входящие в состав Программы разделы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Раздел 1. Развитие национально-культурного взаимодействия представителей различных национальностей и конфессий, представленных на </w:t>
            </w:r>
            <w:r>
              <w:t>территории сельского поселения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1.1. Организация проведения мероприятий, направленных на укрепление межнациональной и межконфессиональной </w:t>
            </w:r>
            <w:r w:rsidRPr="006212E8">
              <w:lastRenderedPageBreak/>
              <w:t>солидарности среди жителей сельского поселения.</w:t>
            </w:r>
            <w:r w:rsidRPr="006212E8">
              <w:br/>
              <w:t>1.2. Организация проведения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2. Мероприятия, способствующие установлению гармоничных отношений мигрантов и постоянного населения сельского поселения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2.1. Организация проведения мероприятий, направленных на социально-культурную адаптацию мигрантов на территории сельского поселения.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2.2. Организация создания мобильной школы для просвещения населения и установления взаимного уважения мигрантов и постоянного населения сельского поселения.</w:t>
            </w:r>
            <w:r w:rsidRPr="006212E8">
              <w:br/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Раздел 3. Информационное сопровождение,  методическое обеспечение сферы межнациональных и межконфессиональных отношений</w:t>
            </w:r>
            <w:r w:rsidRPr="006212E8">
              <w:br/>
            </w:r>
            <w:r w:rsidRPr="006212E8">
              <w:br/>
              <w:t>3.1. Организация создания и размещения в средствах массовой информации, на сайте, на информационных стендах информационных материалов о многообразии национальных культур и религий на территории сельского поселения.</w:t>
            </w:r>
            <w:r w:rsidRPr="006212E8">
              <w:br/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br/>
              <w:t>3.2. Организация проведения социологических исследований по вопросам межнациональных и межконфессиональных отношений на территории сельского поселения.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</w:t>
            </w:r>
            <w:r w:rsidRPr="006212E8">
              <w:br/>
              <w:t xml:space="preserve">3.3. Организация проведения конференций, круглых столов, семинаров по вопросам межнациональных и межконфессиональных отношений.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3.4. Организация проведения исследования объектов и территорий, имеющих историческое, культовое, культурное или природоохранное значение, и мест захоронений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Объем финансовых ресурсов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2014 год – 1</w:t>
            </w:r>
            <w:r>
              <w:t>0</w:t>
            </w:r>
            <w:r w:rsidRPr="006212E8">
              <w:t>000 рублей</w:t>
            </w:r>
          </w:p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2015 год- </w:t>
            </w:r>
            <w:r>
              <w:t>11</w:t>
            </w:r>
            <w:r w:rsidRPr="006212E8">
              <w:t>000 рублей</w:t>
            </w:r>
          </w:p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2016 год – </w:t>
            </w:r>
            <w:r>
              <w:t>11</w:t>
            </w:r>
            <w:r w:rsidRPr="006212E8">
              <w:t>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Показатели эффективности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Программа имеет преимущественно социально ориентированный характер, поэтому показатели экономической и бюджетной эффективности определены как труднопрогнозируемые. Вместе с тем обеспечение гармоничной социально-политической обстановки на территории сельского поселения будет способствовать укреплению позитивного имиджа, совмещение традиционного планирования мероприятий Программы с конкурсной системой отбора проектов позволит внедрить в сферу национальной политики новые социальные практики, расширить и совершенствовать этнокультурную и конфессиональную инфраструктуру сельского поселения.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Показатели социальной эффективности: 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количество реализованных социально значимых мероприятий по вопросам развития национальных культур, духовного единства и межэтнического согласия 2014 – 2, 2015 – 4, 2016 - 6;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количество постоянного населения сельского поселения и мигрантов, принявших участие в мероприятиях Программы: 2014 год - 1400 чел., 2015 год - 1450 чел., 2016 год - 1500 чел.;</w:t>
            </w:r>
            <w:r w:rsidRPr="006212E8">
              <w:br/>
              <w:t>количество размещенных в средствах массовой информации, в том числе в сети Интернет, информационных сообщений,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сельского поселения: 2014 год - 2 ед., 2015 год - 5 ед., 2016 год - 7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Основные индикаторы реализации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1. Организационно-правовое обеспечение сферы межнациональных и межконфессиональных отношений в сельском поселении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1.1. Количество мониторингов законодательства в сфере межнациональных и межконфессиональных отношений: 2014 год - 2 ед., 2015 год - 2 ед., 2016 год - 2 ед.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1.2. Количество разработанных нормативно-правовых и нормативных актов, регулирующих основные направления межнационального и межконфессионального взаимодействия в сельском поселении: 2014 год - по мере необходимости, 2015 год - по мере необходимости, 2016 год - по мере необходимости.</w:t>
            </w:r>
            <w:r w:rsidRPr="006212E8">
              <w:br/>
              <w:t>1.3. Количество заседаний межнациональной, межконфессиональной, экспертной комиссии : 2014 год - 2 ед., 2015 год - 2 ед., 2016 год - 2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2. Развитие национально-культурного взаимодействия представителей различных национальностей и конфессий, представленных на территории сельского поселения</w:t>
            </w:r>
            <w:r w:rsidRPr="006212E8">
              <w:br/>
              <w:t>2.1. Количество мероприятий, направленных на укрепление межнациональной и межконфессиональной солидарности среди жителей сельского поселения: 2014 год - 2 ед., 2015 год - 5 ед., 2016 год - 6 ед.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2.2. Количество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объединений: 2014 год - 1 ед., 2015 год - 1 ед., 2016 год - 1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Раздел 3. Мероприятия, способствующие установлению гармоничных отношений мигрантов и постоянного населения сельского поселения Качегановский сельсовет</w:t>
            </w:r>
            <w:r w:rsidRPr="006212E8">
              <w:br/>
              <w:t>3.1. Количество мероприятий, направленных на социально-культурную адаптацию мигрантов в сельском поселении: 2014 год - 3 ед., 2015 год - 3 ед., 2016 год - 4 ед.</w:t>
            </w:r>
          </w:p>
        </w:tc>
      </w:tr>
      <w:tr w:rsidR="004F331A" w:rsidRPr="006212E8" w:rsidTr="004F331A">
        <w:trPr>
          <w:trHeight w:val="50"/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4. Информационное сопровождение, научное и методическое обеспечение сферы межнациональных и межконфессиональных отношений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4.1. Количество созданных и размещенных в средствах массовой информации, в том числе в сети Интернет информационных материалов о многообразии национальных культур и религий на территории сельского поселения: 2014 год - 2 ед., 2015 год - 3 ед., 2016 год - 5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4.2. Количество конференций, круглых столов, конгрессов, семинаров по вопросам межнациональных и межконфессиональных отношений: 2014 год - 1 ед., 2015 год - 2 ед., 2016 год - 2 ед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4.3. Количество исследований объектов и территорий, имеющих историческое, культовое, культурное или природоохранное значение, и мест захоронений: 2016 год - 1 исследование </w:t>
            </w:r>
          </w:p>
        </w:tc>
      </w:tr>
      <w:tr w:rsidR="004F331A" w:rsidRPr="006212E8" w:rsidTr="004F331A">
        <w:trPr>
          <w:trHeight w:val="336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Основания для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203FA6" w:rsidP="008D710E">
            <w:pPr>
              <w:spacing w:before="100" w:beforeAutospacing="1" w:after="100" w:afterAutospacing="1"/>
              <w:jc w:val="both"/>
            </w:pPr>
            <w:hyperlink r:id="rId8" w:history="1">
              <w:r w:rsidR="004F331A" w:rsidRPr="006212E8">
                <w:t>Конституция Российской Федерации</w:t>
              </w:r>
            </w:hyperlink>
            <w:r w:rsidR="004F331A" w:rsidRPr="006212E8">
              <w:t>;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Федеральный закон от 06.10.2003 №131-ФЗ»Об общих принципах организации местного самоуправления в Российской Федерации»</w:t>
            </w:r>
            <w:r w:rsidRPr="006212E8">
              <w:br/>
            </w:r>
            <w:hyperlink r:id="rId9" w:history="1">
              <w:r w:rsidRPr="006212E8">
                <w:t>Федеральный закон от 17 июня 1996 года N 74-ФЗ "О национально-культурной автономии"</w:t>
              </w:r>
            </w:hyperlink>
            <w:r w:rsidRPr="006212E8">
              <w:t>;</w:t>
            </w:r>
          </w:p>
          <w:p w:rsidR="004F331A" w:rsidRPr="006212E8" w:rsidRDefault="00203FA6" w:rsidP="004F331A">
            <w:pPr>
              <w:spacing w:before="100" w:beforeAutospacing="1" w:after="100" w:afterAutospacing="1"/>
              <w:jc w:val="both"/>
            </w:pPr>
            <w:hyperlink r:id="rId10" w:history="1">
              <w:r w:rsidR="004F331A" w:rsidRPr="006212E8">
                <w:t>Федеральный закон от 26 сентября 1997 года N 125-ФЗ "О свободе совести и о религиозных объединениях"</w:t>
              </w:r>
            </w:hyperlink>
            <w:r w:rsidR="004F331A" w:rsidRPr="006212E8">
              <w:t>;</w:t>
            </w:r>
            <w:r w:rsidR="004F331A" w:rsidRPr="006212E8">
              <w:br/>
            </w:r>
            <w:hyperlink r:id="rId11" w:history="1">
              <w:r w:rsidR="004F331A" w:rsidRPr="006212E8">
                <w:t>Федеральный закон от 25 июля 2002 года N 114-ФЗ "О противодействии экстремистской деятельности"</w:t>
              </w:r>
            </w:hyperlink>
            <w:r w:rsidR="004F331A" w:rsidRPr="006212E8">
              <w:t>;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203FA6" w:rsidP="004F331A">
            <w:pPr>
              <w:spacing w:before="100" w:beforeAutospacing="1" w:after="100" w:afterAutospacing="1"/>
              <w:jc w:val="both"/>
            </w:pPr>
            <w:hyperlink r:id="rId12" w:history="1">
              <w:r w:rsidR="004F331A" w:rsidRPr="006212E8">
                <w:t>Указ Президента Российской Федерации от 3 июня 1996 года N 803 "Об Основных положениях региональной политики в Российской Федерации"</w:t>
              </w:r>
            </w:hyperlink>
            <w:r w:rsidR="004F331A">
              <w:t>;</w:t>
            </w:r>
          </w:p>
          <w:p w:rsidR="004F331A" w:rsidRDefault="00203FA6" w:rsidP="004F331A">
            <w:pPr>
              <w:spacing w:before="100" w:beforeAutospacing="1" w:after="100" w:afterAutospacing="1"/>
              <w:jc w:val="both"/>
            </w:pPr>
            <w:hyperlink r:id="rId13" w:history="1">
              <w:r w:rsidR="004F331A" w:rsidRPr="006212E8">
                <w:t>Указ Президента Российской Федерации от 15 июня 1996 года N 909 "Об утверждении Концепции государственной национальной политики Российской Федерации"</w:t>
              </w:r>
            </w:hyperlink>
            <w:r w:rsidR="004F331A" w:rsidRPr="006212E8">
              <w:t>;</w:t>
            </w:r>
            <w:r w:rsidR="004F331A" w:rsidRPr="006212E8">
              <w:br/>
            </w:r>
            <w:hyperlink r:id="rId14" w:history="1">
              <w:r w:rsidR="004F331A" w:rsidRPr="006212E8">
                <w:t>Указ Президента Российской Федерации от 12 мая 2009 года N 537 "О Стратегии национальной безопасности Российской Федерации до 2020 года"</w:t>
              </w:r>
            </w:hyperlink>
            <w:r w:rsidR="004F331A" w:rsidRPr="006212E8">
              <w:t>;</w:t>
            </w:r>
          </w:p>
          <w:p w:rsidR="004F331A" w:rsidRPr="006212E8" w:rsidRDefault="00203FA6" w:rsidP="004F331A">
            <w:pPr>
              <w:spacing w:before="100" w:beforeAutospacing="1" w:after="100" w:afterAutospacing="1"/>
              <w:jc w:val="both"/>
            </w:pPr>
            <w:hyperlink r:id="rId15" w:history="1">
              <w:r w:rsidR="004F331A" w:rsidRPr="006212E8">
                <w:t>Постановление Правительства Российской Федерации от 22 февраля 1997 года N 217 "О мерах по реализации Концепции государственной национальной политики Российской Федерации"</w:t>
              </w:r>
            </w:hyperlink>
            <w:r w:rsidR="004F331A" w:rsidRPr="006212E8">
              <w:t>;</w:t>
            </w:r>
            <w:r w:rsidR="004F331A" w:rsidRPr="006212E8">
              <w:br/>
            </w:r>
            <w:r w:rsidR="004F331A" w:rsidRPr="006212E8">
              <w:br/>
              <w:t>Перечень поручений Президента Российской Федерации от 23 марта 2009 года N Пр-695ГС по итогам совместного заседания президиума Государственного совета Российской Федерации по взаимодействию с религиозными объединениями при Президенте Российской Федерации;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Перечень поручений Президента Российской Федерации от 27 февраля 2011 года N Пр-488 по итогам заседания президиума Государственного совета Российской Федерации 11 февраля 2011 года (г.Уфа);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приказ Министерства регионального развития Российской Федерации от 29 июня 2007 года N 57 "Об организации работы по проведению мониторинга в сфере межнациональных отношений";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Кроме того, при разработке Программы учитывались Декларация принципов толерантности, утвержденная резолюцией 5.61 Генеральной конференции ЮНЕСКО от 16 ноября 1995 года, Декларация и Программа действий в области культуры мира, принятые резолюцией 53/243 Генеральной Ассамблеи от 13 сентября 1999 года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Разработчик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Срок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2014 год </w:t>
            </w:r>
          </w:p>
        </w:tc>
      </w:tr>
      <w:tr w:rsidR="004F331A" w:rsidRPr="006212E8" w:rsidTr="004F331A">
        <w:trPr>
          <w:trHeight w:val="144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Система управления и контроль за выполнением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Общий контроль за выполнением Программы осуществляет </w:t>
            </w:r>
            <w:r>
              <w:t xml:space="preserve">комиссия по укреплению межнационального и межконфессионального согласия </w:t>
            </w:r>
            <w:r w:rsidRPr="006212E8">
              <w:t>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</w:p>
        </w:tc>
      </w:tr>
    </w:tbl>
    <w:p w:rsidR="004F331A" w:rsidRPr="006212E8" w:rsidRDefault="004F331A" w:rsidP="004F33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Сфера этноконфессиональных отношений остается наиболее вероятным центром притяжения конфликтных настроений населения. При формировании региональной модели государственной национальной политики учитывается, что в этническом многообразии заключается значительный потенциал для дальнейшего развития и продвижения сельского поселения.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 официальным данным Всероссийской переписи населения 2010 года на территории сельского поселения: башкир - , татар - , русских - , украинцев - 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На территории сельского поселения действуют 2 зарегистрированные религиозные мусульманские организации. В настоящее время развивается взаимодействие между общественными организациями, в интересы которых входят межнациональные и межконфессиональные отношения, формируются базы общественных и религиозных организаций, устанавливается сотрудничество, выявляются наиболее активные представители гражданского сообщества. 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Реализация Программы будет способствовать развитию диалога религий и межнациональному миру на территории сельского поселения. В связи с усилением миграционных потоков требуется выработка стратегии и создание механизмов адаптации к традиционным ценностям постоянного населения сельского поселения. На фоне позитивных социально-экономических изменений миграционная обстановка в сельском поселении оценивается как стабильная и контролируемая.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Мероприятия Программы направлены на создание единого информационного пространства для пропаганды ценностей мира и согласия в сельском поселении.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В целях комплексного решения проблем в межэтнической и межконфессиональной сферах необходимо использование программно-целевых методов, позволяющих заложить долгосрочную основу гармоничным межкоцфессиональным отношениям и позитивному развитию всех этносов, проживающих в сельском поселении, в рамках единого российского социокультурного пространства.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Программа направлена на укрепление в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 и мигрантофобии.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Реализация Программы позволит повысить уровень этноконфессиональной культуры жителей сельского поселения, обеспечить толерантную среду в регионе посредством информирования и распространения знаний о традициях, истории национальностей и религий, сформировать позитивный имидж сельского поселения как территории, комфортной для проживания представителей любой национальности и конфессии, стабильного и инвестиционно привлекательного региона.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сохранение атмосферы взаимного уважения к национальным и конфессиональным традициям и обычаям народов, проживающих на территории сельского поселения ;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социально-экономически стабильной территории.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Основными задачами Программы являются: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обеспечение проведения тематических научных, аналитических, социологических исследований;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      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3. Мероприятия Программы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В целях реализации целей и задач Программы разработан План мероприятий долгосрочной целевой программы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годы", который включает следующие разделы и подразделы: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Раздел 1. Развитие национально-культурного взаимодействия представителей различных национальностей и конфессий, представленных на территории сельского поселения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    1.1.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Раздел 2. Мероприятия, способствующие установлению гармоничных отношений мигрантов и постоянного населения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2.1. Организация проведения мероприятий, направленных на социально-культурную адаптацию мигрантов в сельском поселении.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Раздел 3. Информационное сопровождение, научное и методическое обеспечение сферы межнациональных и межконфессиональных отношений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   4.2. Организация создания и размещения в средствах массовой информации информационных материалов в том числе в сети Интернет о многообразии национальных культур и религий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4.3. Организация проведения конференций, круглых столов, семинаров по вопросам межнациональных и межконфессиональных отношений.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Перечень праздничных дат, к которым могут быть приурочены мероприятия Программы, приведены в </w:t>
      </w:r>
      <w:hyperlink r:id="rId16" w:history="1">
        <w:r w:rsidRPr="006212E8">
          <w:rPr>
            <w:rFonts w:ascii="Times New Roman" w:eastAsia="Times New Roman" w:hAnsi="Times New Roman" w:cs="Times New Roman"/>
            <w:sz w:val="24"/>
            <w:szCs w:val="24"/>
          </w:rPr>
          <w:t>приложении 2 к Программе</w:t>
        </w:r>
      </w:hyperlink>
      <w:r w:rsidRPr="00621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Обоснование мероприятий Программы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Анализ состояния и тенденций развития общественно-политической ситуации, особенности межнациональных и межконфессиональных отношений в сельском поселении определяют необходимость разработки  целевой программы, предусматривающей систему мер и механизм реализации мероприятий, в целях повышения этноконфессиональной культуры населения сельского поселения и формирования среды взаимного уважения на территории. Стабильная этноконфессиональная обстановка  позволяет предотвратить возможные проявления этнополитических и религиозных противоречий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В целях налаживания системной работы в сфере межнациональных и межконфессиональных отношений в сельском поселении разработка Программы осуществлялась с учетом необходимости комплексного подхода, направленного на поддержание межнационального согласия и религиозного мира на территории сельского поселения.                   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5. Финансирование Программы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Финансирование Программы осуществляется за счет средств местного бюджета сельского поселения Качегановский сельсовет (приложение 1).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Общий объем финансирования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- 32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2014 год - 1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2015 год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eastAsia="Times New Roman" w:hAnsi="Times New Roman" w:cs="Times New Roman"/>
          <w:sz w:val="24"/>
          <w:szCs w:val="24"/>
        </w:rPr>
        <w:t>блей, 2016 год - 11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rPr>
          <w:b/>
          <w:bCs/>
        </w:rPr>
        <w:t>6. Оценка социально-экономической эффективности мероприятий Программы. Целевые задания и ожидаемые конечные результаты</w:t>
      </w:r>
    </w:p>
    <w:p w:rsidR="004F331A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>    Программа имеет преимущественно социально ориентированный характер, поэтому показатели экономической и бюджетной эффективности определены как труднопрогнозируемые. Вместе с тем обеспечение гармоничной социально-политической обстановки на территории муниципальных образований будет способствовать укреплению позитивного имиджа сельского поселения.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>     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жителей, представителей средств массовой информации, национальных и религиозных организаций, прочих заинтересованных лиц и организаций.</w:t>
      </w:r>
      <w:r w:rsidRPr="006212E8">
        <w:br/>
        <w:t>     </w:t>
      </w:r>
      <w:r w:rsidRPr="006212E8">
        <w:br/>
        <w:t>    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сельского поселения.</w:t>
      </w:r>
    </w:p>
    <w:p w:rsidR="004F331A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>    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t>          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 проживающих на территории сельского поселения народов, а также принятие своевременных мер, обеспечивающих наличие условий поддержания национального и конфессионального мира на территории сельского поселения.</w:t>
      </w:r>
      <w:r w:rsidRPr="006212E8">
        <w:br/>
        <w:t>    </w:t>
      </w:r>
      <w:r w:rsidRPr="006212E8">
        <w:rPr>
          <w:b/>
          <w:bCs/>
        </w:rPr>
        <w:t>8. Контроль за реализацией Программы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t> Общий контроль за выполнением Программы осуществляет  </w:t>
      </w:r>
      <w:r>
        <w:t>комиссия</w:t>
      </w:r>
      <w:r w:rsidRPr="006212E8">
        <w:t xml:space="preserve"> </w:t>
      </w:r>
      <w:r>
        <w:t xml:space="preserve">по укреплению межнационального и межконфессионального согласия </w:t>
      </w:r>
      <w:r w:rsidRPr="006212E8">
        <w:t>сельского поселения Качегановский сельсовет муниципального района Миякинский район Республики Башкортостан  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rPr>
          <w:b/>
          <w:bCs/>
        </w:rPr>
        <w:t xml:space="preserve">                                                                                                                             Приложение 1</w:t>
      </w:r>
      <w:r>
        <w:rPr>
          <w:b/>
          <w:bCs/>
        </w:rPr>
        <w:t xml:space="preserve"> а</w:t>
      </w:r>
    </w:p>
    <w:tbl>
      <w:tblPr>
        <w:tblpPr w:leftFromText="180" w:rightFromText="180" w:vertAnchor="text" w:horzAnchor="margin" w:tblpY="5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879"/>
        <w:gridCol w:w="1783"/>
        <w:gridCol w:w="2136"/>
      </w:tblGrid>
      <w:tr w:rsidR="004F331A" w:rsidRPr="006212E8" w:rsidTr="004F331A">
        <w:trPr>
          <w:trHeight w:val="15"/>
          <w:tblCellSpacing w:w="15" w:type="dxa"/>
        </w:trPr>
        <w:tc>
          <w:tcPr>
            <w:tcW w:w="598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Организация проведения мероприятий, направленных на социально-культурную адаптацию м</w:t>
            </w:r>
            <w:r>
              <w:rPr>
                <w:sz w:val="20"/>
                <w:szCs w:val="20"/>
              </w:rPr>
              <w:t xml:space="preserve">игрантов 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6212E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Организация создания и размещения в средствах массовой информации</w:t>
            </w:r>
            <w:r>
              <w:rPr>
                <w:sz w:val="20"/>
                <w:szCs w:val="20"/>
              </w:rPr>
              <w:t xml:space="preserve"> в том числе в сети Интернет</w:t>
            </w:r>
            <w:r w:rsidRPr="006212E8">
              <w:rPr>
                <w:sz w:val="20"/>
                <w:szCs w:val="20"/>
              </w:rPr>
              <w:t xml:space="preserve"> информационных материалов о многообразии национальных культур и религий на т</w:t>
            </w:r>
            <w:r>
              <w:rPr>
                <w:sz w:val="20"/>
                <w:szCs w:val="20"/>
              </w:rPr>
              <w:t>ерритории сельского поселения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4.7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социологических исследований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конференций, круглых столов, семинаров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4.9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исследования объектов и территорий, имеющих историческое, культовое, культурное или природоохранное значение, и мест захоронений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рублей</w:t>
            </w:r>
          </w:p>
        </w:tc>
      </w:tr>
    </w:tbl>
    <w:p w:rsidR="004F331A" w:rsidRPr="006212E8" w:rsidRDefault="004F331A" w:rsidP="004F331A">
      <w:pPr>
        <w:spacing w:before="100" w:beforeAutospacing="1" w:after="100" w:afterAutospacing="1"/>
        <w:jc w:val="both"/>
        <w:outlineLvl w:val="3"/>
      </w:pPr>
      <w:r>
        <w:t xml:space="preserve">            </w:t>
      </w:r>
      <w:r w:rsidRPr="006212E8">
        <w:rPr>
          <w:b/>
          <w:bCs/>
        </w:rPr>
        <w:t xml:space="preserve">                                                                                                       Приложение 2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Перечень праздничных дат, к которым могут быть приурочены мероприятия Программы:</w:t>
      </w:r>
      <w:r w:rsidRPr="006212E8">
        <w:br/>
        <w:t>     </w:t>
      </w:r>
      <w:r w:rsidRPr="006212E8">
        <w:br/>
        <w:t>     Январь</w:t>
      </w:r>
      <w:r w:rsidRPr="006212E8">
        <w:br/>
        <w:t>        1 января - Всемирный день мира (День всемирных молитв о мире): социальная реклама, плакаты для распространения в местах проведения новогодних елок, призывы к уважению друг друга независимо от вероисповедания и национальности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7 января - Рождество: социальная реклама - буклеты об истории праздника, рождественских традициях православия.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 25 января - День российского студенчества: среди студентов - мероприятия в учебных заведениях, промоакции - раздаточный материал о том, что получение образования и специальности (упор на рабочие профессии в связи с поручением Президента Российской Федерации) необходимо независимо от национальности и вероисповедания.</w:t>
      </w:r>
      <w:r w:rsidRPr="006212E8">
        <w:br/>
        <w:t>     </w:t>
      </w:r>
      <w:r w:rsidRPr="006212E8">
        <w:br/>
        <w:t>     Февраль</w:t>
      </w:r>
      <w:r w:rsidRPr="006212E8">
        <w:br/>
        <w:t>          17 февраля - День проявления доброты: целевая аудитория - подростки, мероприятия посвящены культивированию доброты и уважения по отношению к человеку независимо от национальности и вероисповедания.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  21 февраля - Международный день родного языка: подготовка и распространение продуктов социальной рекламы, проведение открытых уроков.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Март</w:t>
      </w:r>
      <w:r w:rsidRPr="006212E8">
        <w:br/>
        <w:t>         21 марта - Международный день борьбы за ликвидацию расовой дискриминации: социальная реклама - просвещающие буклеты, плакаты, мероприятие с привлечением ростовых кукол, демонстрирующих расовое многообразие.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Апрель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13 апреля - Всемирный день рок-н-ролла: музыка объединяет представителей различных национальностей и конфессий.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22 апреля - День земли: информирование о достижениях агропромышленного комплекса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Май</w:t>
      </w:r>
      <w:r w:rsidRPr="006212E8">
        <w:br/>
        <w:t>        3 мая - День солнца: социальная реклама - изображения солнца в виде различных национальностей и конфессий, промоакция, распространение материалов среди различных целевых аудиторий.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 18 мая - Международный день музеев: мероприятия в музеях на территории сельского поселения.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24 мая - День славянской письменности и культуры: мероприятие, посвященное обмену культурными традициями и ценностями славянских народов.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Июнь</w:t>
      </w:r>
      <w:r w:rsidRPr="006212E8">
        <w:br/>
        <w:t>          9 июня - Международный день друзей: дружба - понятие универсальное для всех национальностей и религий (социальная реклама), мероприятие "Дружба народов" с участием представителей всех национальностей и конфессий.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12 июня - День России: праздник россиян независимо от национальности, формирование региональной идентичности у жителей (как граждан России) независимо от национальности и вероисповедания.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Июль</w:t>
      </w:r>
      <w:r w:rsidRPr="006212E8">
        <w:br/>
        <w:t>         8 июля - Всероссийский день семьи, любви и верности: чествование семей</w:t>
      </w:r>
      <w:r>
        <w:t xml:space="preserve">, в том числе </w:t>
      </w:r>
      <w:r w:rsidRPr="006212E8">
        <w:t>межнациональных.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Сентябрь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21 сентября - Международный день мира ООН: социальная реклама, информирующая население  о празднике, о единстве мира независимо от национальности и вероисповедания.</w:t>
      </w:r>
      <w:r w:rsidRPr="006212E8">
        <w:br/>
        <w:t>     </w:t>
      </w:r>
      <w:r w:rsidRPr="006212E8">
        <w:br/>
        <w:t>     Ноябрь</w:t>
      </w:r>
      <w:r w:rsidRPr="006212E8">
        <w:br/>
        <w:t>        1 ноября - День всех святых: праздник всех религий, возможна организация мероприятия, способствующего повышению уровня знаний жителей  о мировых религиях и конфессиях, представленных на территории Российской Федерации.</w:t>
      </w:r>
      <w:r w:rsidRPr="006212E8">
        <w:br/>
        <w:t>        4 ноября - День народного единства, 7 ноября - День согласия и примирения: мероприятия, направленные на установление межнационального согласия.     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16 ноября - Международный день терпимости: коммуникативные тренинги с различными целевыми аудиториями о толерантности по отношению к особенностям различных национальностей и религий, особенностях, культурах, межэтнически</w:t>
      </w:r>
      <w:r>
        <w:t xml:space="preserve">х и межконфессиональных </w:t>
      </w:r>
      <w:r w:rsidRPr="006212E8">
        <w:t>различи</w:t>
      </w:r>
      <w:r>
        <w:t xml:space="preserve">ях </w:t>
      </w:r>
      <w:r w:rsidRPr="006212E8">
        <w:t>жителей.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Декабрь</w:t>
      </w:r>
      <w:r w:rsidRPr="006212E8">
        <w:br/>
        <w:t>          10 декабря - Всемирный день прав человека: объединяющее начало - уважение и самоуважение, внедрение понимания ответственности за свои права, слова, действия, предположительно, коммуникативные тренинги для различных целевых аудиторий, способствующие пониманию основных прав человека, социальная реклама.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18 декабря - Международный день мигранта: мероприятия, направленные на социально-культурную адаптацию мигрантов - распространение адаптированной литературы, посвященной истории, обычаям, традициям России.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20 декабря - День солидарности людей: мероприятия, способствующие объединению людей.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 xml:space="preserve">     25 декабря - Рождество: социальная реклама о католицизме, протестантизме, Рождестве, истории и традициях празднования. 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</w:p>
    <w:p w:rsidR="004F331A" w:rsidRPr="006212E8" w:rsidRDefault="004F331A" w:rsidP="004F331A">
      <w:pPr>
        <w:spacing w:before="100" w:beforeAutospacing="1" w:after="100" w:afterAutospacing="1"/>
        <w:jc w:val="both"/>
        <w:rPr>
          <w:b/>
          <w:bCs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C8"/>
    <w:multiLevelType w:val="hybridMultilevel"/>
    <w:tmpl w:val="2BD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2B1"/>
    <w:multiLevelType w:val="hybridMultilevel"/>
    <w:tmpl w:val="807CA666"/>
    <w:lvl w:ilvl="0" w:tplc="27368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1A2"/>
    <w:rsid w:val="000820C9"/>
    <w:rsid w:val="00203FA6"/>
    <w:rsid w:val="002A41A2"/>
    <w:rsid w:val="00327935"/>
    <w:rsid w:val="0037179D"/>
    <w:rsid w:val="004C2671"/>
    <w:rsid w:val="004F331A"/>
    <w:rsid w:val="005D06CB"/>
    <w:rsid w:val="00711993"/>
    <w:rsid w:val="007E70EC"/>
    <w:rsid w:val="008C7845"/>
    <w:rsid w:val="009C3C87"/>
    <w:rsid w:val="00A24BC2"/>
    <w:rsid w:val="00B30522"/>
    <w:rsid w:val="00D22AAE"/>
    <w:rsid w:val="00D34660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4F33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7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17321" TargetMode="External"/><Relationship Id="rId12" Type="http://schemas.openxmlformats.org/officeDocument/2006/relationships/hyperlink" Target="http://docs.cntd.ru/document/90205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37917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17321" TargetMode="External"/><Relationship Id="rId11" Type="http://schemas.openxmlformats.org/officeDocument/2006/relationships/hyperlink" Target="http://docs.cntd.ru/document/9018235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38702" TargetMode="External"/><Relationship Id="rId10" Type="http://schemas.openxmlformats.org/officeDocument/2006/relationships/hyperlink" Target="http://docs.cntd.ru/document/9040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667" TargetMode="External"/><Relationship Id="rId14" Type="http://schemas.openxmlformats.org/officeDocument/2006/relationships/hyperlink" Target="http://docs.cntd.ru/document/902156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4117</Words>
  <Characters>23473</Characters>
  <Application>Microsoft Office Word</Application>
  <DocSecurity>0</DocSecurity>
  <Lines>195</Lines>
  <Paragraphs>55</Paragraphs>
  <ScaleCrop>false</ScaleCrop>
  <Company>Microsoft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</cp:revision>
  <dcterms:created xsi:type="dcterms:W3CDTF">2014-01-30T05:26:00Z</dcterms:created>
  <dcterms:modified xsi:type="dcterms:W3CDTF">2014-04-15T09:40:00Z</dcterms:modified>
</cp:coreProperties>
</file>